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 w:firstLine="851"/>
        <w:jc w:val="center"/>
        <w:spacing w:after="0" w:line="276" w:lineRule="auto"/>
        <w:shd w:val="clear" w:color="auto" w:fill="ffffff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32"/>
          <w:szCs w:val="32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Памятка о правилах проведения ГИА-9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ind w:left="-567" w:firstLine="851"/>
        <w:jc w:val="center"/>
        <w:spacing w:after="0" w:line="276" w:lineRule="auto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(для ознакомления участников ГИА и их родителей (законных представителей) под подпись </w:t>
      </w:r>
      <w:r>
        <w:rPr>
          <w:sz w:val="18"/>
          <w:szCs w:val="18"/>
        </w:rPr>
      </w:r>
      <w:r/>
    </w:p>
    <w:p>
      <w:pPr>
        <w:ind w:left="-567" w:firstLine="851"/>
        <w:jc w:val="both"/>
        <w:spacing w:after="0" w:line="276" w:lineRule="auto"/>
        <w:shd w:val="clear" w:color="auto" w:fill="ffff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  <w:r/>
    </w:p>
    <w:p>
      <w:pPr>
        <w:ind w:left="0" w:right="0" w:firstLine="567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Общая информация о ГИА: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ind w:left="0" w:right="0" w:firstLine="567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Государственная итоговая аттестация по образовательным программам основного общего образования (далее ГИА-9) для выпускников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IX классов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проводится в форме ОГЭ (ОГЭ - основной государственный экзамен) и/или ГВЭ (государственный выпускной экзамен).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left="0" w:right="0" w:firstLine="567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2.ГИА-9 включает в себя 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четыре экзамена: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673"/>
        <w:numPr>
          <w:ilvl w:val="0"/>
          <w:numId w:val="1"/>
        </w:numPr>
        <w:ind w:left="567" w:right="0" w:firstLine="0"/>
        <w:jc w:val="both"/>
        <w:spacing w:after="0" w:line="276" w:lineRule="auto"/>
        <w:shd w:val="clear" w:color="auto" w:fill="ffffff"/>
        <w:tabs>
          <w:tab w:val="left" w:pos="850" w:leader="none"/>
        </w:tabs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Русский язык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673"/>
        <w:numPr>
          <w:ilvl w:val="0"/>
          <w:numId w:val="1"/>
        </w:numPr>
        <w:ind w:left="567" w:right="0" w:firstLine="0"/>
        <w:jc w:val="both"/>
        <w:spacing w:after="0" w:line="276" w:lineRule="auto"/>
        <w:shd w:val="clear" w:color="auto" w:fill="ffffff"/>
        <w:tabs>
          <w:tab w:val="left" w:pos="850" w:leader="none"/>
        </w:tabs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Математика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673"/>
        <w:numPr>
          <w:ilvl w:val="0"/>
          <w:numId w:val="1"/>
        </w:numPr>
        <w:ind w:left="0" w:right="0" w:firstLine="567"/>
        <w:jc w:val="both"/>
        <w:spacing w:after="0" w:line="276" w:lineRule="auto"/>
        <w:shd w:val="clear" w:color="auto" w:fill="ffffff"/>
        <w:tabs>
          <w:tab w:val="left" w:pos="85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предмета по выбору: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</w:t>
      </w:r>
      <w:r>
        <w:rPr>
          <w:sz w:val="22"/>
          <w:szCs w:val="22"/>
        </w:rPr>
      </w:r>
      <w:r/>
    </w:p>
    <w:p>
      <w:pPr>
        <w:ind w:left="0" w:right="0" w:firstLine="567"/>
        <w:jc w:val="both"/>
        <w:spacing w:after="0" w:line="276" w:lineRule="auto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 К ГИА допускаются обучающие, не имеющие академической задолженности, в полном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объеме выполнившие учебный план (имеющие годовые учебные отметки 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IX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класс не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удовлетворительных).</w:t>
      </w:r>
      <w:r>
        <w:rPr>
          <w:rFonts w:ascii="Times New Roman" w:hAnsi="Times New Roman" w:cs="Times New Roman"/>
          <w:sz w:val="28"/>
          <w:szCs w:val="28"/>
        </w:rPr>
        <w:t xml:space="preserve"> Экстерны допускаются к ГИА при условии получения на промежуточной аттестации отметок не ниже удовлетворительных. Обучающиеся и экстерны допускаются к ГИА-9 при наличии результата «зачёт» за итоговое собеседование по русскому языку.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ind w:left="0" w:right="0" w:firstLine="567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 Заявление для участия в ГИА подается в школе – до 01 марта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(включительно)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sz w:val="24"/>
          <w:szCs w:val="24"/>
        </w:rPr>
      </w:r>
      <w:r/>
    </w:p>
    <w:p>
      <w:pPr>
        <w:ind w:left="0" w:right="0" w:firstLine="567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5. Расписание экзаменов ГИА-9 утверждается ежегодно на федеральном уровне совместными приказами Министерства просвещения Российской Федерации и Федеральной службы по надзору в сфере образования и науки (Рособрнадзор).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 В целях обеспечения безопасности, обеспечения порядка проведения и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редотвращения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фактов нарушения порядка проведения ГИА-9 пункты проведения экзаменов (ППЭ)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оборудованы стационарными и/или перено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сными металлоискателями, системами видеонаблюдения и системами подавления сигналов подвижной связи.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22222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7. 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ИА-9 по всем учебным предметам начинается в 10.00.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аннулируются председателем государственной экзаменационной комиссии по образовательным программам основного общего образования (ГЭК-9) Камчатского края.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Результаты ГИА-9 признаются удовлетворительными в случае, если участник ГИА по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сдаваемым учебным предметам набрал минимальное количество первичных баллов,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определенное приказом Министерства образования Камчатского края.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10. Обработка экзаменационных работ и утверждение результатов ГИА-9 в Камчатском крае осуществляется в соответствии с региональным графиком </w:t>
      </w:r>
      <w:r>
        <w:rPr>
          <w:rFonts w:ascii="Times New Roman" w:hAnsi="Times New Roman" w:cs="Times New Roman"/>
          <w:sz w:val="28"/>
          <w:szCs w:val="28"/>
        </w:rPr>
        <w:t xml:space="preserve">обработки экзаменационных материалов (ежегодно утверждается приказом Министерства образования Камчатского края).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Ознакомление участников ГИА с утвержденными председателем ГЭК результатами ГИА</w:t>
      </w:r>
      <w:r>
        <w:rPr>
          <w:rFonts w:ascii="Times New Roman" w:hAnsi="Times New Roman" w:cs="Times New Roman"/>
          <w:sz w:val="28"/>
          <w:szCs w:val="28"/>
        </w:rPr>
        <w:t xml:space="preserve">-9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по учебному предмету осуществляется в течение одного рабочего дня со дня их передачи в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образовательные организации (передача осу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ществляется посредством АРМ в составе ГИС «Сетевой город»). Указанный день считается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highlight w:val="none"/>
          <w:lang w:eastAsia="ru-RU"/>
        </w:rPr>
        <w:t xml:space="preserve">официальным днем объявления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highlight w:val="none"/>
          <w:lang w:eastAsia="ru-RU"/>
        </w:rPr>
        <w:t xml:space="preserve">результатов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spacing w:before="0" w:after="170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Предварительная информация о дате, являющейся официальным днём объявления результатов ГИА-9 публикуется на сайте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</w:r>
      <w:hyperlink r:id="rId9" w:tooltip="https://www.gia41.ru/" w:history="1">
        <w:r>
          <w:rPr>
            <w:rStyle w:val="81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  <w:t xml:space="preserve">https://www.gia41.ru/</w:t>
        </w:r>
        <w:r>
          <w:rPr>
            <w:rStyle w:val="815"/>
            <w:rFonts w:ascii="Times New Roman" w:hAnsi="Times New Roman" w:eastAsia="Times New Roman" w:cs="Times New Roman"/>
            <w:sz w:val="28"/>
            <w:szCs w:val="28"/>
            <w:highlight w:val="none"/>
            <w:lang w:eastAsia="ru-RU"/>
          </w:rPr>
        </w:r>
      </w:hyperlink>
      <w:r>
        <w:rPr>
          <w:rFonts w:ascii="Times New Roman" w:hAnsi="Times New Roman" w:eastAsia="Times New Roman" w:cs="Times New Roman"/>
          <w:color w:val="222222"/>
          <w:sz w:val="28"/>
          <w:szCs w:val="28"/>
          <w:highlight w:val="none"/>
          <w:lang w:eastAsia="ru-RU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</w:r>
      <w:hyperlink r:id="rId10" w:tooltip="https://www.gia41.ru/gia9.htm" w:history="1">
        <w:r>
          <w:rPr>
            <w:rStyle w:val="815"/>
            <w:rFonts w:ascii="Times New Roman" w:hAnsi="Times New Roman" w:eastAsia="Segoe UI" w:cs="Times New Roman"/>
            <w:color w:val="000000"/>
            <w:sz w:val="28"/>
            <w:szCs w:val="28"/>
            <w:u w:val="single"/>
          </w:rPr>
          <w:t xml:space="preserve">ГИА-9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eastAsia="Segoe UI" w:cs="Times New Roman"/>
          <w:color w:val="000000"/>
          <w:sz w:val="28"/>
          <w:szCs w:val="28"/>
        </w:rPr>
        <w:t xml:space="preserve">Даты объявления результатов и подачи апелляций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Segoe UI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highlight w:val="none"/>
          <w:lang w:eastAsia="ru-RU"/>
        </w:rPr>
        <w:t xml:space="preserve">Обязанности участника экзамена в рамках участия в ГИА:</w:t>
      </w:r>
      <w:r>
        <w:rPr>
          <w:b/>
          <w:bCs/>
          <w:sz w:val="22"/>
          <w:szCs w:val="22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1. В день экзамена участник экзамена должен прибыть в ППЭ заблаговременно. Вход участников экзамена в ППЭ начинается с 09.00 по местному времени.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Допуск участников экзамена в ППЭ осуществляется при наличии у них документов, удостоверяющих их личность, и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их в списках распределения в данный ППЭ.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случае проведе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ния ГИА по русскому языку (часть 1– изложение), по иностранным языкам (письменная часть, раздел «Аудирование») допуск опоздавших участников экзамена в аудиторию после включения аудиозаписи не осуществляется (за исключением, если в аудитории нет других учас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тников или если участники ГИА в аудитории завершили прослушивание аудиозаписи). Персональное прослушивание изложения и аудирование для опоздавших участников экзамена не проводится (за исключением случая, когда в аудитории нет других участников экзамена).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диктанта, за исключением, если в аудитории нет других участников.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Повторный общий инструктаж для оп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оздавших участников экзамена не проводится.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предоставляют необходимую информацию для заполнения регистрационных полей бланков ГИА.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по объективным причинам у участника экзамена документа, удостоверяющего личность, он допуска</w:t>
      </w:r>
      <w:r>
        <w:rPr>
          <w:rFonts w:ascii="Times New Roman" w:hAnsi="Times New Roman" w:cs="Times New Roman"/>
          <w:sz w:val="28"/>
          <w:szCs w:val="28"/>
        </w:rPr>
        <w:t xml:space="preserve">ется в ППЭ после письменного подтверждения его личности сопровождающим от образовательной организации.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Экзаменационная работа выполняется гелевой, капиллярной ручкой с чернилами черного цвета. Экзаменационн</w:t>
      </w:r>
      <w:r>
        <w:rPr>
          <w:rFonts w:ascii="Times New Roman" w:hAnsi="Times New Roman" w:cs="Times New Roman"/>
          <w:sz w:val="28"/>
          <w:szCs w:val="28"/>
        </w:rPr>
        <w:t xml:space="preserve">ые работы, выполненные другими письменными принадлежностями, не обрабатываются и не проверяются.</w:t>
      </w:r>
      <w:r>
        <w:rPr>
          <w:sz w:val="22"/>
          <w:szCs w:val="22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день проведения экзамена в ППЭ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участникам экзамена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меть при себе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связи, электронно-вычислительную технику,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фото-, аудио- </w:t>
      </w:r>
      <w:r>
        <w:rPr>
          <w:rFonts w:ascii="Times New Roman" w:hAnsi="Times New Roman" w:cs="Times New Roman"/>
          <w:sz w:val="28"/>
          <w:szCs w:val="28"/>
        </w:rPr>
        <w:t xml:space="preserve">и видеоаппаратуру,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материалы, письменные заметки и иные средства хранения и передачи информации. </w:t>
      </w:r>
      <w:r>
        <w:rPr>
          <w:sz w:val="22"/>
          <w:szCs w:val="22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Запрещено выносить из аудиторий письменные заметки и иные средства хранения и передачи информации, из ППЭ и аудиторий ППЭ запрещается выносить экз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аменационные материалы, в том числе КИМ и черновики на бумажном или электронном носителях, фотографировать экзаменационные материалы.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6.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 время экзамена на рабочем столе участника ГИА-9, помимо экзаменационных материалов, могут находиться: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гелевая или капиллярная ручка с чернилами черного цвета;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документ, удостоверяющий личность;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лекарства и питание (при необходимости</w:t>
      </w:r>
      <w:r>
        <w:rPr>
          <w:rStyle w:val="818"/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footnoteReference w:id="2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);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листы бумаги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для черновиков (за исключением ОГЭ по иностранным языкам (раздел «Говорение»);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средства обучения и воспитания, разрешенные для использования на экзамене по отдельным учебным предметам (утверждаются приказом Министерства просвещения.</w:t>
      </w:r>
      <w:r>
        <w:rPr>
          <w:sz w:val="22"/>
          <w:szCs w:val="22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Участники экзамена занимают рабочие места в аудитории в соответствии со списками распределения. Изменение</w:t>
      </w:r>
      <w:r>
        <w:rPr>
          <w:rFonts w:ascii="Times New Roman" w:hAnsi="Times New Roman" w:cs="Times New Roman"/>
          <w:sz w:val="28"/>
          <w:szCs w:val="28"/>
        </w:rPr>
        <w:t xml:space="preserve"> рабочего места запрещено.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При выходе из аудитории во время экзамена участник экзамена</w:t>
      </w:r>
      <w:r>
        <w:rPr>
          <w:rFonts w:ascii="Times New Roman" w:hAnsi="Times New Roman" w:cs="Times New Roman"/>
          <w:sz w:val="28"/>
          <w:szCs w:val="28"/>
        </w:rPr>
        <w:t xml:space="preserve"> должен оставить экзаменационные материалы, черновики и письменные принадлежности на рабочем столе.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Участники экзамена, допустившие нарушение указанных требований или иные нарушения Порядка, удаляются с экзамена. Акт об удалении с экзамена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</w:t>
      </w:r>
      <w:r>
        <w:rPr>
          <w:rFonts w:ascii="Times New Roman" w:hAnsi="Times New Roman" w:cs="Times New Roman"/>
          <w:sz w:val="28"/>
          <w:szCs w:val="28"/>
        </w:rPr>
        <w:t xml:space="preserve">и с экзамена и удаляет лиц, нарушивших Порядок, из ППЭ. Организатор ставит в соответствующем поле бланка участника ГИА необходимую отметку. Акт об удалении с экзамена составляется в двух экземплярах. Первый экземпляр акта выдается лицу, нарушившему Порядок</w:t>
      </w:r>
      <w:r>
        <w:rPr>
          <w:rFonts w:ascii="Times New Roman" w:hAnsi="Times New Roman" w:cs="Times New Roman"/>
          <w:sz w:val="28"/>
          <w:szCs w:val="28"/>
        </w:rPr>
        <w:t xml:space="preserve">, второй экземпляр в тот же день направляется в ГЭК для рассмотрения и последующего направления в РЦОИ для учета при обработке экзаменационных работ.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222222"/>
          <w:sz w:val="36"/>
          <w:szCs w:val="36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Права участника экзамена в рамках участия в ГИА: </w:t>
      </w:r>
      <w:r>
        <w:rPr>
          <w:rFonts w:ascii="Times New Roman" w:hAnsi="Times New Roman" w:eastAsia="Times New Roman" w:cs="Times New Roman"/>
          <w:b/>
          <w:bCs/>
          <w:color w:val="222222"/>
          <w:sz w:val="36"/>
          <w:szCs w:val="36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bCs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1. Участник экзамена может при выполнении работы использовать черновики, выдаваемые образовательной организацией, на базе которой организован ППЭ, и делать пометки в КИМ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случае проведения ГИА по иностранн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ым языкам (раздел «Говорение») черновики не выдаются). </w:t>
      </w:r>
      <w:r>
        <w:rPr>
          <w:rFonts w:ascii="Times New Roman" w:hAnsi="Times New Roman" w:eastAsia="Times New Roman" w:cs="Times New Roman"/>
          <w:i/>
          <w:iCs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Черновики и КИМ не проверяю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тся и записи в них не учитываются при обработке и оценивании.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 Участник экзамена, который по состоянию здоровья или другим объективным причинам не может завершить</w:t>
      </w:r>
      <w:r>
        <w:rPr>
          <w:rFonts w:ascii="Times New Roman" w:hAnsi="Times New Roman" w:cs="Times New Roman"/>
          <w:sz w:val="28"/>
          <w:szCs w:val="28"/>
        </w:rPr>
        <w:t xml:space="preserve">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</w:t>
      </w:r>
      <w:r>
        <w:rPr>
          <w:rFonts w:ascii="Times New Roman" w:hAnsi="Times New Roman" w:cs="Times New Roman"/>
          <w:sz w:val="28"/>
          <w:szCs w:val="28"/>
        </w:rPr>
        <w:t xml:space="preserve">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 Участники экзаменов, доср</w:t>
      </w:r>
      <w:r>
        <w:rPr>
          <w:rFonts w:ascii="Times New Roman" w:hAnsi="Times New Roman" w:cs="Times New Roman"/>
          <w:sz w:val="28"/>
          <w:szCs w:val="28"/>
        </w:rPr>
        <w:t xml:space="preserve">очно завершившие выполнение экзаменационной работы, могут покинуть ППЭ. Организаторы принимают у них все экзаменационные материалы.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4. Участникам экзаменов, не прошедшим ГИА или получившим на ГИА неудовлетворительные результаты более чем по двум учебным пр</w:t>
      </w:r>
      <w:r>
        <w:rPr>
          <w:rFonts w:ascii="Times New Roman" w:hAnsi="Times New Roman" w:cs="Times New Roman"/>
          <w:sz w:val="28"/>
          <w:szCs w:val="28"/>
        </w:rPr>
        <w:t xml:space="preserve">едметам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</w:t>
      </w:r>
      <w:r>
        <w:rPr>
          <w:rFonts w:ascii="Times New Roman" w:hAnsi="Times New Roman" w:cs="Times New Roman"/>
          <w:sz w:val="28"/>
          <w:szCs w:val="28"/>
        </w:rPr>
        <w:t xml:space="preserve">да в сроки и формах, устанавливаемых Порядком.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5. Участникам экзаменов, проходящим ГИА только по обязательным учебным предметам, не прошедшим ГИА или получившим на ГИА неудовлетворительные результаты более чем по одному обязательному учебному предмету, либ</w:t>
      </w:r>
      <w:r>
        <w:rPr>
          <w:rFonts w:ascii="Times New Roman" w:hAnsi="Times New Roman" w:cs="Times New Roman"/>
          <w:sz w:val="28"/>
          <w:szCs w:val="28"/>
        </w:rPr>
        <w:t xml:space="preserve">о получившим повторно неудовлетворительный  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устанавливаемых Порядком.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Конфликтная комиссия не рассматривает апелляции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</w:t>
      </w:r>
      <w:r>
        <w:rPr>
          <w:rFonts w:ascii="Times New Roman" w:hAnsi="Times New Roman" w:cs="Times New Roman"/>
          <w:sz w:val="28"/>
          <w:szCs w:val="28"/>
        </w:rPr>
        <w:t xml:space="preserve">енационной работы.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Обучающийся и (или) его родители (законные представители) при жела</w:t>
      </w:r>
      <w:r>
        <w:rPr>
          <w:rFonts w:ascii="Times New Roman" w:hAnsi="Times New Roman" w:cs="Times New Roman"/>
          <w:sz w:val="28"/>
          <w:szCs w:val="28"/>
        </w:rPr>
        <w:t xml:space="preserve">нии присутствуют при рассмотрении апелляции.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Апелляцию о нарушении установленного порядка проведения ГИА участник экзамена подает в день проведения экзамена члену ГЭК, не покидая ППЭ.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целях проверки изложенных в апелляции сведений о нарушении порядка про</w:t>
      </w:r>
      <w:r>
        <w:rPr>
          <w:rFonts w:ascii="Times New Roman" w:hAnsi="Times New Roman" w:cs="Times New Roman"/>
          <w:sz w:val="28"/>
          <w:szCs w:val="28"/>
        </w:rPr>
        <w:t xml:space="preserve">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</w:t>
      </w:r>
      <w:r>
        <w:rPr>
          <w:rFonts w:ascii="Times New Roman" w:hAnsi="Times New Roman" w:cs="Times New Roman"/>
          <w:sz w:val="28"/>
          <w:szCs w:val="28"/>
        </w:rPr>
        <w:t xml:space="preserve">ков, а также ассистентов. Результаты проверки оформляются в форме заключения. Заключение о результатах проверки в тот же день передаются членом ГЭК.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нарушении установленного порядка проведения ГИА конфликтная комиссия рассматри</w:t>
      </w:r>
      <w:r>
        <w:rPr>
          <w:rFonts w:ascii="Times New Roman" w:hAnsi="Times New Roman" w:cs="Times New Roman"/>
          <w:sz w:val="28"/>
          <w:szCs w:val="28"/>
        </w:rPr>
        <w:t xml:space="preserve">вает апелляцию и заключение о результатах проверки и выносит одно из решений: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об отклонении апелляции;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об удовлетворении апелляции.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апелляции результат ГИА, по процедуре которого участником экзамена была подана апелляция, аннулируется и </w:t>
      </w:r>
      <w:r>
        <w:rPr>
          <w:rFonts w:ascii="Times New Roman" w:hAnsi="Times New Roman" w:cs="Times New Roman"/>
          <w:sz w:val="28"/>
          <w:szCs w:val="28"/>
        </w:rPr>
        <w:t xml:space="preserve">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Апелляция о несогласии с выставленными баллами подается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течение двух рабочих дней, следующих за официальным днем объявления результатов ГИА по соответствующему учебному предмету.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подают апелляцию о несогласии с выставленными баллами в образовательную организацию, которой они были допущены к ГИА, или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в конфликтную комиссию.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</w:t>
      </w:r>
      <w:r>
        <w:rPr>
          <w:rFonts w:ascii="Times New Roman" w:hAnsi="Times New Roman" w:cs="Times New Roman"/>
          <w:sz w:val="28"/>
          <w:szCs w:val="28"/>
        </w:rPr>
        <w:t xml:space="preserve">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Указанные материалы предъявляются участникам экзаменов (в случае ег</w:t>
      </w:r>
      <w:r>
        <w:rPr>
          <w:rFonts w:ascii="Times New Roman" w:hAnsi="Times New Roman" w:cs="Times New Roman"/>
          <w:sz w:val="28"/>
          <w:szCs w:val="28"/>
        </w:rPr>
        <w:t xml:space="preserve">о присутствия при рассмотрении апелляции). 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</w:t>
      </w:r>
      <w:r>
        <w:rPr>
          <w:rFonts w:ascii="Times New Roman" w:hAnsi="Times New Roman" w:cs="Times New Roman"/>
          <w:sz w:val="28"/>
          <w:szCs w:val="28"/>
        </w:rPr>
        <w:t xml:space="preserve">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в Комисси</w:t>
      </w:r>
      <w:r>
        <w:rPr>
          <w:rFonts w:ascii="Times New Roman" w:hAnsi="Times New Roman" w:cs="Times New Roman"/>
          <w:sz w:val="28"/>
          <w:szCs w:val="28"/>
        </w:rPr>
        <w:t xml:space="preserve">ю по разработке КИМ по соответствующему учебному предмету с запросом о разъяснениях по критериям оценивания. 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 конфликтная комиссия принимает решение об отклонении апелляции и сохран</w:t>
      </w:r>
      <w:r>
        <w:rPr>
          <w:rFonts w:ascii="Times New Roman" w:hAnsi="Times New Roman" w:cs="Times New Roman"/>
          <w:sz w:val="28"/>
          <w:szCs w:val="28"/>
        </w:rPr>
        <w:t xml:space="preserve">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</w:t>
      </w:r>
      <w:r>
        <w:rPr>
          <w:rFonts w:ascii="Times New Roman" w:hAnsi="Times New Roman" w:cs="Times New Roman"/>
          <w:sz w:val="28"/>
          <w:szCs w:val="28"/>
        </w:rPr>
        <w:t xml:space="preserve">как в сторону увеличения, так и в сторону уменьшения. 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</w:t>
      </w:r>
      <w:r>
        <w:rPr>
          <w:rFonts w:ascii="Times New Roman" w:hAnsi="Times New Roman" w:cs="Times New Roman"/>
          <w:sz w:val="28"/>
          <w:szCs w:val="28"/>
        </w:rPr>
        <w:t xml:space="preserve">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заявления об отзыве поданной апелляции конфл</w:t>
      </w:r>
      <w:r>
        <w:rPr>
          <w:rFonts w:ascii="Times New Roman" w:hAnsi="Times New Roman" w:cs="Times New Roman"/>
          <w:sz w:val="28"/>
          <w:szCs w:val="28"/>
        </w:rPr>
        <w:t xml:space="preserve">иктная комиссия рассматривает его апелляцию в установленном порядке. </w:t>
      </w:r>
      <w:r>
        <w:rPr>
          <w:rFonts w:ascii="Times New Roman" w:hAnsi="Times New Roman" w:cs="Times New Roman"/>
          <w:color w:val="222222"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подготовлена в соответствии со следующими нормативными правовыми до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кументами, регламентирующими проведение ГИА: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bCs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Федеральный закон от 29.12.2012 № 273-ФЗ «Об образовании в Российской Федерации».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bCs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Приказ Министерства просвещения Российской Федерации и Федеральной службы по надзору в сфере образования и науки от 04.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04.2023 № 232/551 «Об утверждении Порядка проведения государственной итоговой аттестации по образовательным программам основного общего образования» </w:t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567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 правилами проведения ГИА-9 ознакомлен (а):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Участник ГИА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___________________(_____________________)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«___»</w:t>
      </w:r>
      <w:r>
        <w:rPr>
          <w:rFonts w:ascii="Times New Roman" w:hAnsi="Times New Roman" w:cs="Times New Roman"/>
          <w:sz w:val="28"/>
          <w:szCs w:val="28"/>
        </w:rPr>
        <w:t xml:space="preserve">_______20___г.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Родитель/законный представитель несовершеннолетнего участника ГИА ___________________(_____________________)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0"/>
        <w:jc w:val="both"/>
        <w:spacing w:before="0" w:after="0" w:afterAutospacing="1" w:line="24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«___»_______20___г.</w:t>
      </w:r>
      <w:r>
        <w:rPr>
          <w:sz w:val="22"/>
          <w:szCs w:val="22"/>
        </w:rPr>
      </w:r>
      <w:r/>
    </w:p>
    <w:p>
      <w:pPr>
        <w:contextualSpacing/>
        <w:ind w:left="0" w:right="0" w:firstLine="567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16"/>
      </w:pPr>
      <w:r>
        <w:rPr>
          <w:rStyle w:val="818"/>
        </w:rPr>
        <w:footnoteRef/>
      </w:r>
      <w:r>
        <w:t xml:space="preserve"> Необходимость лекарств и питания определяется на этапе подачи заявления на экзамены при предъявлении рекомендаций психолого-медико-педагогической комиссии (ПМПК)</w:t>
      </w:r>
      <w:r>
        <w:t xml:space="preserve">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basedOn w:val="834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4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4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4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Strong"/>
    <w:basedOn w:val="834"/>
    <w:uiPriority w:val="22"/>
    <w:qFormat/>
    <w:rPr>
      <w:b/>
      <w:bCs/>
    </w:rPr>
  </w:style>
  <w:style w:type="character" w:styleId="838">
    <w:name w:val="Emphasis"/>
    <w:basedOn w:val="834"/>
    <w:uiPriority w:val="20"/>
    <w:qFormat/>
    <w:rPr>
      <w:i/>
      <w:iCs/>
    </w:rPr>
  </w:style>
  <w:style w:type="paragraph" w:styleId="839" w:customStyle="1">
    <w:name w:val="1"/>
    <w:basedOn w:val="8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ia41.ru/" TargetMode="External"/><Relationship Id="rId10" Type="http://schemas.openxmlformats.org/officeDocument/2006/relationships/hyperlink" Target="https://www.gia41.ru/gia9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7</cp:revision>
  <dcterms:created xsi:type="dcterms:W3CDTF">2021-12-14T10:50:00Z</dcterms:created>
  <dcterms:modified xsi:type="dcterms:W3CDTF">2023-12-14T00:15:18Z</dcterms:modified>
</cp:coreProperties>
</file>